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CE" w:rsidRDefault="007D6ACE">
      <w:pPr>
        <w:jc w:val="left"/>
        <w:rPr>
          <w:rFonts w:ascii="Times New Roman" w:eastAsia="黑体" w:hAnsi="Times New Roman" w:cs="黑体"/>
          <w:bCs/>
          <w:szCs w:val="21"/>
        </w:rPr>
      </w:pPr>
      <w:bookmarkStart w:id="0" w:name="_GoBack"/>
      <w:bookmarkEnd w:id="0"/>
    </w:p>
    <w:p w:rsidR="007D6ACE" w:rsidRDefault="00B614AC">
      <w:pPr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4</w:t>
      </w:r>
    </w:p>
    <w:p w:rsidR="007D6ACE" w:rsidRDefault="00B614AC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《保健食品原料目录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鱼油》</w:t>
      </w:r>
    </w:p>
    <w:p w:rsidR="007D6ACE" w:rsidRDefault="007D6ACE">
      <w:pPr>
        <w:tabs>
          <w:tab w:val="left" w:pos="1183"/>
        </w:tabs>
        <w:jc w:val="center"/>
        <w:rPr>
          <w:rFonts w:ascii="Times New Roman" w:eastAsia="方正小标宋简体" w:hAnsi="Times New Roman" w:cs="方正小标宋简体"/>
          <w:b/>
          <w:bCs/>
          <w:sz w:val="36"/>
          <w:szCs w:val="36"/>
        </w:rPr>
      </w:pPr>
    </w:p>
    <w:tbl>
      <w:tblPr>
        <w:tblpPr w:leftFromText="180" w:rightFromText="180" w:vertAnchor="page" w:horzAnchor="page" w:tblpX="826" w:tblpY="3475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814"/>
        <w:gridCol w:w="1860"/>
        <w:gridCol w:w="2206"/>
        <w:gridCol w:w="1718"/>
        <w:gridCol w:w="1290"/>
      </w:tblGrid>
      <w:tr w:rsidR="007D6ACE">
        <w:trPr>
          <w:trHeight w:val="839"/>
        </w:trPr>
        <w:tc>
          <w:tcPr>
            <w:tcW w:w="1511" w:type="dxa"/>
          </w:tcPr>
          <w:p w:rsidR="007D6ACE" w:rsidRDefault="00B614A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原料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598" w:type="dxa"/>
            <w:gridSpan w:val="4"/>
            <w:vAlign w:val="center"/>
          </w:tcPr>
          <w:p w:rsidR="007D6ACE" w:rsidRDefault="00B614A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每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290" w:type="dxa"/>
            <w:vMerge w:val="restart"/>
          </w:tcPr>
          <w:p w:rsidR="007D6ACE" w:rsidRDefault="00B614A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功效</w:t>
            </w:r>
          </w:p>
        </w:tc>
      </w:tr>
      <w:tr w:rsidR="007D6ACE">
        <w:trPr>
          <w:trHeight w:val="884"/>
        </w:trPr>
        <w:tc>
          <w:tcPr>
            <w:tcW w:w="1511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814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1860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适宜人群</w:t>
            </w:r>
          </w:p>
        </w:tc>
        <w:tc>
          <w:tcPr>
            <w:tcW w:w="2206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1718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290" w:type="dxa"/>
            <w:vMerge/>
            <w:vAlign w:val="center"/>
          </w:tcPr>
          <w:p w:rsidR="007D6ACE" w:rsidRDefault="007D6AC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7D6ACE">
        <w:trPr>
          <w:trHeight w:val="2194"/>
        </w:trPr>
        <w:tc>
          <w:tcPr>
            <w:tcW w:w="1511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鱼油</w:t>
            </w:r>
          </w:p>
          <w:p w:rsidR="007D6ACE" w:rsidRDefault="007D6AC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不高于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>
              <w:rPr>
                <w:rFonts w:asciiTheme="minorEastAsia" w:hAnsiTheme="minorEastAsia"/>
                <w:sz w:val="32"/>
                <w:szCs w:val="32"/>
              </w:rPr>
              <w:t>.0g</w:t>
            </w:r>
          </w:p>
          <w:p w:rsidR="007D6ACE" w:rsidRDefault="00B614AC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（其中</w:t>
            </w:r>
            <w:r>
              <w:rPr>
                <w:rFonts w:asciiTheme="minorEastAsia" w:hAnsiTheme="minorEastAsia"/>
                <w:sz w:val="32"/>
                <w:szCs w:val="32"/>
              </w:rPr>
              <w:t>，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E</w:t>
            </w:r>
            <w:r>
              <w:rPr>
                <w:rFonts w:asciiTheme="minorEastAsia" w:hAnsiTheme="minorEastAsia"/>
                <w:sz w:val="32"/>
                <w:szCs w:val="32"/>
              </w:rPr>
              <w:t>PA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+</w:t>
            </w:r>
            <w:r>
              <w:rPr>
                <w:rFonts w:asciiTheme="minorEastAsia" w:hAnsiTheme="minorEastAsia"/>
                <w:sz w:val="32"/>
                <w:szCs w:val="32"/>
              </w:rPr>
              <w:t>DHA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的</w:t>
            </w:r>
            <w:r>
              <w:rPr>
                <w:rFonts w:asciiTheme="minorEastAsia" w:hAnsiTheme="minorEastAsia"/>
                <w:sz w:val="32"/>
                <w:szCs w:val="32"/>
              </w:rPr>
              <w:t>用量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不低于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1.0</w:t>
            </w:r>
            <w:r>
              <w:rPr>
                <w:rFonts w:asciiTheme="minorEastAsia" w:hAnsiTheme="minorEastAsia"/>
                <w:sz w:val="32"/>
                <w:szCs w:val="32"/>
              </w:rPr>
              <w:t>g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</w:tc>
        <w:tc>
          <w:tcPr>
            <w:tcW w:w="1860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血脂偏高者</w:t>
            </w:r>
          </w:p>
        </w:tc>
        <w:tc>
          <w:tcPr>
            <w:tcW w:w="2206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少年儿童、</w:t>
            </w:r>
            <w:r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孕妇、乳母；出血倾向者和出血性疾病患者；肝功能</w:t>
            </w:r>
            <w:r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不全者</w:t>
            </w:r>
          </w:p>
        </w:tc>
        <w:tc>
          <w:tcPr>
            <w:tcW w:w="1718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对</w:t>
            </w:r>
            <w:r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海产品过敏者不</w:t>
            </w:r>
            <w:r>
              <w:rPr>
                <w:rFonts w:eastAsia="仿宋" w:hint="eastAsia"/>
                <w:color w:val="000000" w:themeColor="text1"/>
                <w:kern w:val="0"/>
                <w:sz w:val="32"/>
                <w:szCs w:val="32"/>
              </w:rPr>
              <w:t>推荐食用</w:t>
            </w:r>
          </w:p>
        </w:tc>
        <w:tc>
          <w:tcPr>
            <w:tcW w:w="1290" w:type="dxa"/>
            <w:vAlign w:val="center"/>
          </w:tcPr>
          <w:p w:rsidR="007D6ACE" w:rsidRDefault="00B614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eastAsia="仿宋" w:hint="eastAsia"/>
                <w:color w:val="000000" w:themeColor="text1"/>
                <w:sz w:val="32"/>
                <w:szCs w:val="32"/>
              </w:rPr>
              <w:t>辅助降血脂</w:t>
            </w:r>
          </w:p>
        </w:tc>
      </w:tr>
    </w:tbl>
    <w:p w:rsidR="007D6ACE" w:rsidRDefault="007D6ACE">
      <w:pPr>
        <w:tabs>
          <w:tab w:val="left" w:pos="1183"/>
        </w:tabs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eastAsia="方正小标宋简体" w:hAnsi="Times New Roman" w:cs="方正小标宋简体"/>
          <w:sz w:val="32"/>
          <w:szCs w:val="32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hAnsi="Times New Roman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hAnsi="Times New Roman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hAnsi="Times New Roman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hAnsi="Times New Roman"/>
        </w:rPr>
      </w:pPr>
    </w:p>
    <w:p w:rsidR="007D6ACE" w:rsidRDefault="007D6ACE">
      <w:pPr>
        <w:tabs>
          <w:tab w:val="left" w:pos="1183"/>
        </w:tabs>
        <w:jc w:val="left"/>
        <w:rPr>
          <w:rFonts w:ascii="Times New Roman" w:hAnsi="Times New Roman"/>
        </w:rPr>
      </w:pPr>
    </w:p>
    <w:p w:rsidR="007D6ACE" w:rsidRDefault="007D6ACE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7D6ACE" w:rsidRDefault="007D6ACE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7D6ACE" w:rsidRDefault="007D6ACE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7D6ACE" w:rsidRDefault="007D6ACE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7D6ACE" w:rsidRDefault="007D6ACE">
      <w:pPr>
        <w:spacing w:line="600" w:lineRule="exact"/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7D6ACE" w:rsidRDefault="00B614AC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鱼油原料技术要求</w:t>
      </w:r>
    </w:p>
    <w:p w:rsidR="007D6ACE" w:rsidRDefault="007D6ACE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7D6ACE" w:rsidRDefault="00B614A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【来源】</w:t>
      </w:r>
    </w:p>
    <w:p w:rsidR="007D6ACE" w:rsidRDefault="00B614AC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可食用海洋鱼经蒸煮、分离得粗鱼油，再经进一步精制获得用于生产保健食品的原料鱼油，分为甘油三酯型鱼油和乙酯型鱼油。实际生产采用的工艺应包含但不仅限于以下环节：</w:t>
      </w:r>
    </w:p>
    <w:p w:rsidR="007D6ACE" w:rsidRDefault="00B614A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甘油三酯型鱼油生产工艺</w:t>
      </w:r>
    </w:p>
    <w:p w:rsidR="007D6ACE" w:rsidRDefault="00B614AC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粗鱼油经脱酸、脱色等工艺处理后得到甘油三酯型鱼油；或经乙酯化、蒸馏、甘油酯化等工艺处理后得到甘油三酯型鱼油。</w:t>
      </w:r>
    </w:p>
    <w:p w:rsidR="007D6ACE" w:rsidRDefault="00B614A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乙酯型鱼油生产工艺</w:t>
      </w:r>
    </w:p>
    <w:p w:rsidR="007D6ACE" w:rsidRDefault="00B614AC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粗鱼油经乙酯化、蒸馏等工艺处理后得到乙酯型鱼油。</w:t>
      </w:r>
    </w:p>
    <w:p w:rsidR="007D6ACE" w:rsidRDefault="00B614AC">
      <w:pPr>
        <w:pStyle w:val="a5"/>
        <w:spacing w:before="0" w:beforeAutospacing="0" w:after="0" w:afterAutospacing="0" w:line="360" w:lineRule="auto"/>
        <w:ind w:firstLineChars="200" w:firstLine="404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保健食品原料鱼油可来源于鱼油、鱼油提取物、多烯鱼油，技术要求应满足本文本要求。</w:t>
      </w:r>
    </w:p>
    <w:p w:rsidR="007D6ACE" w:rsidRDefault="00B614A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spacing w:val="-4"/>
          <w:kern w:val="2"/>
          <w:sz w:val="21"/>
          <w:szCs w:val="22"/>
        </w:rPr>
        <w:t>【感官要求】</w:t>
      </w:r>
    </w:p>
    <w:p w:rsidR="007D6ACE" w:rsidRDefault="00B614AC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>1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7D6ACE" w:rsidRDefault="00B614AC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1 </w:t>
      </w:r>
      <w:r>
        <w:rPr>
          <w:rFonts w:ascii="Times New Roman" w:hAnsi="Times New Roman" w:cs="Times New Roman" w:hint="eastAsia"/>
          <w:color w:val="000000"/>
          <w:spacing w:val="-4"/>
        </w:rPr>
        <w:t>感官指标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5889"/>
      </w:tblGrid>
      <w:tr w:rsidR="007D6ACE">
        <w:trPr>
          <w:trHeight w:val="426"/>
        </w:trPr>
        <w:tc>
          <w:tcPr>
            <w:tcW w:w="1903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项目</w:t>
            </w:r>
          </w:p>
        </w:tc>
        <w:tc>
          <w:tcPr>
            <w:tcW w:w="5889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要求</w:t>
            </w:r>
          </w:p>
        </w:tc>
      </w:tr>
      <w:tr w:rsidR="007D6ACE">
        <w:trPr>
          <w:trHeight w:val="403"/>
        </w:trPr>
        <w:tc>
          <w:tcPr>
            <w:tcW w:w="1903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色泽</w:t>
            </w:r>
          </w:p>
        </w:tc>
        <w:tc>
          <w:tcPr>
            <w:tcW w:w="5889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浅黄色或橙红色</w:t>
            </w:r>
          </w:p>
        </w:tc>
      </w:tr>
      <w:tr w:rsidR="007D6ACE">
        <w:trPr>
          <w:trHeight w:val="403"/>
        </w:trPr>
        <w:tc>
          <w:tcPr>
            <w:tcW w:w="1903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滋味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、气味</w:t>
            </w:r>
          </w:p>
        </w:tc>
        <w:tc>
          <w:tcPr>
            <w:tcW w:w="5889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稍有鱼油特有的腥味，无鱼油酸败味</w:t>
            </w:r>
          </w:p>
        </w:tc>
      </w:tr>
      <w:tr w:rsidR="007D6ACE">
        <w:trPr>
          <w:trHeight w:val="404"/>
        </w:trPr>
        <w:tc>
          <w:tcPr>
            <w:tcW w:w="1903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状态</w:t>
            </w:r>
          </w:p>
        </w:tc>
        <w:tc>
          <w:tcPr>
            <w:tcW w:w="5889" w:type="dxa"/>
            <w:vAlign w:val="center"/>
          </w:tcPr>
          <w:p w:rsidR="007D6ACE" w:rsidRDefault="00B614A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澄清透明的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液体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，无沉淀物，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无肉眼可见外来杂质</w:t>
            </w:r>
          </w:p>
        </w:tc>
      </w:tr>
    </w:tbl>
    <w:p w:rsidR="007D6ACE" w:rsidRDefault="00B614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【理化指标】</w:t>
      </w:r>
    </w:p>
    <w:p w:rsidR="007D6ACE" w:rsidRDefault="00B614AC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2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7D6ACE" w:rsidRDefault="00B614AC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2 </w:t>
      </w:r>
      <w:r>
        <w:rPr>
          <w:rFonts w:ascii="Times New Roman" w:hAnsi="Times New Roman" w:cs="Times New Roman" w:hint="eastAsia"/>
          <w:color w:val="000000"/>
          <w:spacing w:val="-4"/>
        </w:rPr>
        <w:t>理化指标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6"/>
        <w:gridCol w:w="1276"/>
        <w:gridCol w:w="4536"/>
      </w:tblGrid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</w:t>
            </w:r>
            <w:r>
              <w:rPr>
                <w:rFonts w:ascii="宋体" w:hAnsi="宋体" w:cs="宋体"/>
                <w:kern w:val="0"/>
                <w:szCs w:val="21"/>
              </w:rPr>
              <w:t>方法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水分及挥发物，</w:t>
            </w:r>
            <w:r>
              <w:rPr>
                <w:rFonts w:ascii="宋体" w:hAnsi="宋体" w:cs="宋体"/>
                <w:kern w:val="0"/>
                <w:szCs w:val="21"/>
              </w:rPr>
              <w:t>%     ≤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0.2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5009.236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酸价（以</w:t>
            </w:r>
            <w:r>
              <w:rPr>
                <w:rFonts w:ascii="宋体" w:hAnsi="宋体" w:cs="宋体"/>
                <w:kern w:val="0"/>
                <w:szCs w:val="21"/>
              </w:rPr>
              <w:t>KOH</w:t>
            </w:r>
            <w:r>
              <w:rPr>
                <w:rFonts w:ascii="宋体" w:hAnsi="宋体" w:cs="宋体" w:hint="eastAsia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mg/g≤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5009.229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过氧化值，</w:t>
            </w:r>
            <w:r>
              <w:rPr>
                <w:rFonts w:ascii="宋体" w:hAnsi="宋体" w:cs="宋体"/>
                <w:kern w:val="0"/>
                <w:szCs w:val="21"/>
              </w:rPr>
              <w:t>mmol/kg    ≤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5.0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 5009.227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茴香胺值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/>
                <w:kern w:val="0"/>
                <w:szCs w:val="21"/>
              </w:rPr>
              <w:t>≤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20.0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24304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碘值，</w:t>
            </w:r>
            <w:r>
              <w:rPr>
                <w:rFonts w:ascii="宋体" w:hAnsi="宋体" w:cs="宋体"/>
                <w:kern w:val="0"/>
                <w:szCs w:val="21"/>
              </w:rPr>
              <w:t>g/100 g       ≥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5532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不皂化物，</w:t>
            </w:r>
            <w:r>
              <w:rPr>
                <w:rFonts w:ascii="宋体" w:hAnsi="宋体" w:cs="宋体"/>
                <w:kern w:val="0"/>
                <w:szCs w:val="21"/>
              </w:rPr>
              <w:t>%         ≤</w:t>
            </w:r>
          </w:p>
        </w:tc>
        <w:tc>
          <w:tcPr>
            <w:tcW w:w="127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3.0</w:t>
            </w:r>
          </w:p>
        </w:tc>
        <w:tc>
          <w:tcPr>
            <w:tcW w:w="4536" w:type="dxa"/>
            <w:vAlign w:val="center"/>
          </w:tcPr>
          <w:p w:rsidR="007D6ACE" w:rsidRDefault="00B614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GB/T 5535.2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铅（以</w:t>
            </w:r>
            <w:r>
              <w:rPr>
                <w:rFonts w:ascii="宋体" w:hAnsi="宋体" w:cs="宋体"/>
                <w:kern w:val="0"/>
                <w:szCs w:val="21"/>
              </w:rPr>
              <w:t>Pb</w:t>
            </w:r>
            <w:r>
              <w:rPr>
                <w:rFonts w:ascii="宋体" w:hAnsi="宋体" w:cs="宋体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mg/kg  ≤</w:t>
            </w:r>
          </w:p>
        </w:tc>
        <w:tc>
          <w:tcPr>
            <w:tcW w:w="127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453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GB5009.12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总砷（以</w:t>
            </w:r>
            <w:r>
              <w:rPr>
                <w:rFonts w:ascii="宋体" w:hAnsi="宋体" w:cs="宋体"/>
                <w:kern w:val="0"/>
                <w:szCs w:val="21"/>
              </w:rPr>
              <w:t>As</w:t>
            </w:r>
            <w:r>
              <w:rPr>
                <w:rFonts w:ascii="宋体" w:hAnsi="宋体" w:cs="宋体"/>
                <w:kern w:val="0"/>
                <w:szCs w:val="21"/>
              </w:rPr>
              <w:t>计），</w:t>
            </w:r>
            <w:r>
              <w:rPr>
                <w:rFonts w:ascii="宋体" w:hAnsi="宋体" w:cs="宋体"/>
                <w:kern w:val="0"/>
                <w:szCs w:val="21"/>
              </w:rPr>
              <w:t>mg/kg≤</w:t>
            </w:r>
          </w:p>
        </w:tc>
        <w:tc>
          <w:tcPr>
            <w:tcW w:w="127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</w:t>
            </w:r>
          </w:p>
        </w:tc>
        <w:tc>
          <w:tcPr>
            <w:tcW w:w="453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GB5009.11</w:t>
            </w:r>
          </w:p>
        </w:tc>
      </w:tr>
      <w:tr w:rsidR="007D6ACE">
        <w:trPr>
          <w:trHeight w:val="510"/>
          <w:jc w:val="center"/>
        </w:trPr>
        <w:tc>
          <w:tcPr>
            <w:tcW w:w="255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苯并</w:t>
            </w:r>
            <w:r>
              <w:rPr>
                <w:rFonts w:ascii="宋体" w:hAnsi="宋体" w:cs="宋体"/>
                <w:kern w:val="0"/>
                <w:szCs w:val="21"/>
              </w:rPr>
              <w:t>[a]</w:t>
            </w:r>
            <w:r>
              <w:rPr>
                <w:rFonts w:ascii="宋体" w:hAnsi="宋体" w:cs="宋体"/>
                <w:kern w:val="0"/>
                <w:szCs w:val="21"/>
              </w:rPr>
              <w:t>芘，</w:t>
            </w:r>
            <w:r>
              <w:rPr>
                <w:rFonts w:ascii="宋体" w:hAnsi="宋体" w:cs="宋体"/>
                <w:kern w:val="0"/>
                <w:szCs w:val="21"/>
              </w:rPr>
              <w:t>μg/kg   ≤</w:t>
            </w:r>
          </w:p>
        </w:tc>
        <w:tc>
          <w:tcPr>
            <w:tcW w:w="127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36" w:type="dxa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GB5009.27</w:t>
            </w:r>
          </w:p>
        </w:tc>
      </w:tr>
    </w:tbl>
    <w:p w:rsidR="007D6ACE" w:rsidRDefault="00B614AC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【标志性</w:t>
      </w:r>
      <w:r>
        <w:rPr>
          <w:rFonts w:ascii="Times New Roman" w:hAnsi="Times New Roman" w:cs="Times New Roman"/>
          <w:color w:val="000000"/>
          <w:spacing w:val="-4"/>
        </w:rPr>
        <w:t>成分指标</w:t>
      </w:r>
      <w:r>
        <w:rPr>
          <w:rFonts w:ascii="Times New Roman" w:hAnsi="Times New Roman" w:cs="Times New Roman" w:hint="eastAsia"/>
          <w:color w:val="000000"/>
          <w:spacing w:val="-4"/>
        </w:rPr>
        <w:t>】</w:t>
      </w:r>
    </w:p>
    <w:p w:rsidR="007D6ACE" w:rsidRDefault="00B614AC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4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7D6ACE" w:rsidRDefault="00B614AC">
      <w:pPr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表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标志性成分指标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5"/>
        <w:gridCol w:w="4111"/>
      </w:tblGrid>
      <w:tr w:rsidR="007D6ACE">
        <w:trPr>
          <w:trHeight w:val="510"/>
          <w:jc w:val="center"/>
        </w:trPr>
        <w:tc>
          <w:tcPr>
            <w:tcW w:w="2693" w:type="dxa"/>
            <w:vAlign w:val="center"/>
          </w:tcPr>
          <w:p w:rsidR="007D6ACE" w:rsidRDefault="00B614A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</w:t>
            </w:r>
          </w:p>
        </w:tc>
        <w:tc>
          <w:tcPr>
            <w:tcW w:w="1985" w:type="dxa"/>
            <w:vAlign w:val="center"/>
          </w:tcPr>
          <w:p w:rsidR="007D6ACE" w:rsidRDefault="00B614A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指标</w:t>
            </w:r>
          </w:p>
        </w:tc>
        <w:tc>
          <w:tcPr>
            <w:tcW w:w="4111" w:type="dxa"/>
            <w:vAlign w:val="center"/>
          </w:tcPr>
          <w:p w:rsidR="007D6ACE" w:rsidRDefault="00B614AC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检测方法</w:t>
            </w:r>
          </w:p>
        </w:tc>
      </w:tr>
      <w:tr w:rsidR="007D6ACE">
        <w:trPr>
          <w:trHeight w:val="510"/>
          <w:jc w:val="center"/>
        </w:trPr>
        <w:tc>
          <w:tcPr>
            <w:tcW w:w="2693" w:type="dxa"/>
            <w:vAlign w:val="center"/>
          </w:tcPr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EPA+DHA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含量，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g/100g</w:t>
            </w:r>
          </w:p>
        </w:tc>
        <w:tc>
          <w:tcPr>
            <w:tcW w:w="1985" w:type="dxa"/>
            <w:vAlign w:val="center"/>
          </w:tcPr>
          <w:p w:rsidR="007D6ACE" w:rsidRDefault="007D6AC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7D6ACE" w:rsidRDefault="00B614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≥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</w:rPr>
              <w:t>25</w:t>
            </w:r>
          </w:p>
        </w:tc>
        <w:tc>
          <w:tcPr>
            <w:tcW w:w="4111" w:type="dxa"/>
            <w:vAlign w:val="center"/>
          </w:tcPr>
          <w:p w:rsidR="007D6ACE" w:rsidRDefault="00B614A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GB 5009.168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《食品安全国家标准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食品中脂肪酸的测定》</w:t>
            </w:r>
          </w:p>
        </w:tc>
      </w:tr>
    </w:tbl>
    <w:p w:rsidR="007D6ACE" w:rsidRDefault="00B61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/>
        </w:rPr>
        <w:t>储存</w:t>
      </w:r>
      <w:r>
        <w:rPr>
          <w:rFonts w:ascii="Times New Roman" w:hAnsi="Times New Roman" w:cs="Times New Roman" w:hint="eastAsia"/>
        </w:rPr>
        <w:t>】干燥阴凉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避光、</w:t>
      </w:r>
      <w:r>
        <w:rPr>
          <w:rFonts w:ascii="Times New Roman" w:hAnsi="Times New Roman" w:cs="Times New Roman"/>
        </w:rPr>
        <w:t>密封保存。</w:t>
      </w:r>
    </w:p>
    <w:p w:rsidR="007D6ACE" w:rsidRDefault="00B614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/>
          <w:spacing w:val="-4"/>
        </w:rPr>
        <w:t>产品</w:t>
      </w:r>
      <w:r>
        <w:rPr>
          <w:rFonts w:ascii="Times New Roman" w:hAnsi="Times New Roman" w:cs="Times New Roman" w:hint="eastAsia"/>
          <w:spacing w:val="-4"/>
        </w:rPr>
        <w:t>的</w:t>
      </w:r>
      <w:r>
        <w:rPr>
          <w:rFonts w:ascii="Times New Roman" w:hAnsi="Times New Roman" w:cs="Times New Roman"/>
          <w:spacing w:val="-4"/>
        </w:rPr>
        <w:t>剂型</w:t>
      </w:r>
      <w:r>
        <w:rPr>
          <w:rFonts w:ascii="Times New Roman" w:hAnsi="Times New Roman" w:cs="Times New Roman" w:hint="eastAsia"/>
          <w:b/>
        </w:rPr>
        <w:t>】</w:t>
      </w:r>
      <w:r>
        <w:rPr>
          <w:rFonts w:ascii="Times New Roman" w:hAnsi="Times New Roman" w:cs="Times New Roman"/>
        </w:rPr>
        <w:t>软胶囊</w:t>
      </w:r>
    </w:p>
    <w:p w:rsidR="007D6ACE" w:rsidRDefault="007D6ACE">
      <w:pPr>
        <w:spacing w:line="360" w:lineRule="auto"/>
        <w:rPr>
          <w:rFonts w:ascii="Times New Roman" w:hAnsi="Times New Roman" w:cs="Times New Roman"/>
        </w:rPr>
      </w:pPr>
    </w:p>
    <w:p w:rsidR="007D6ACE" w:rsidRDefault="007D6ACE">
      <w:pPr>
        <w:spacing w:line="360" w:lineRule="auto"/>
        <w:rPr>
          <w:rFonts w:ascii="Times New Roman" w:hAnsi="Times New Roman" w:cs="Times New Roman"/>
        </w:rPr>
      </w:pPr>
    </w:p>
    <w:p w:rsidR="007D6ACE" w:rsidRDefault="00B614A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——————————</w:t>
      </w:r>
    </w:p>
    <w:p w:rsidR="007D6ACE" w:rsidRDefault="007D6ACE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7D6ACE" w:rsidRDefault="007D6ACE"/>
    <w:sectPr w:rsidR="007D6ACE" w:rsidSect="007D6A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AC" w:rsidRDefault="00B614AC" w:rsidP="007D6ACE">
      <w:r>
        <w:separator/>
      </w:r>
    </w:p>
  </w:endnote>
  <w:endnote w:type="continuationSeparator" w:id="0">
    <w:p w:rsidR="00B614AC" w:rsidRDefault="00B614AC" w:rsidP="007D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CE" w:rsidRDefault="007D6AC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D6ACE" w:rsidRDefault="007D6AC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614A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820C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AC" w:rsidRDefault="00B614AC" w:rsidP="007D6ACE">
      <w:r>
        <w:separator/>
      </w:r>
    </w:p>
  </w:footnote>
  <w:footnote w:type="continuationSeparator" w:id="0">
    <w:p w:rsidR="00B614AC" w:rsidRDefault="00B614AC" w:rsidP="007D6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954"/>
    <w:multiLevelType w:val="multilevel"/>
    <w:tmpl w:val="27D97954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064DE9"/>
    <w:rsid w:val="00006D81"/>
    <w:rsid w:val="003560E6"/>
    <w:rsid w:val="005820C7"/>
    <w:rsid w:val="007D6ACE"/>
    <w:rsid w:val="00B614AC"/>
    <w:rsid w:val="48064DE9"/>
    <w:rsid w:val="629C5AA0"/>
    <w:rsid w:val="7115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A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6A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D6A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D6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xzjd</cp:lastModifiedBy>
  <cp:revision>2</cp:revision>
  <dcterms:created xsi:type="dcterms:W3CDTF">2021-01-26T02:09:00Z</dcterms:created>
  <dcterms:modified xsi:type="dcterms:W3CDTF">2021-01-26T02:09:00Z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